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D1" w:rsidRDefault="009060D1" w:rsidP="00646B76">
      <w:pPr>
        <w:rPr>
          <w:rFonts w:cs="B Titr"/>
          <w:sz w:val="40"/>
          <w:szCs w:val="40"/>
          <w:rtl/>
          <w:lang w:bidi="fa-IR"/>
        </w:rPr>
      </w:pPr>
      <w:bookmarkStart w:id="0" w:name="_GoBack"/>
      <w:bookmarkEnd w:id="0"/>
      <w:r>
        <w:rPr>
          <w:rFonts w:cs="B Titr" w:hint="cs"/>
          <w:noProof/>
          <w:sz w:val="32"/>
          <w:szCs w:val="32"/>
          <w:rtl/>
        </w:rPr>
        <w:drawing>
          <wp:anchor distT="0" distB="0" distL="114300" distR="114300" simplePos="0" relativeHeight="251659264" behindDoc="0" locked="0" layoutInCell="1" allowOverlap="1">
            <wp:simplePos x="0" y="0"/>
            <wp:positionH relativeFrom="column">
              <wp:posOffset>4707255</wp:posOffset>
            </wp:positionH>
            <wp:positionV relativeFrom="paragraph">
              <wp:posOffset>-262890</wp:posOffset>
            </wp:positionV>
            <wp:extent cx="847725" cy="809625"/>
            <wp:effectExtent l="19050" t="0" r="9525" b="0"/>
            <wp:wrapSquare wrapText="right"/>
            <wp:docPr id="1" name="Picture 6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m"/>
                    <pic:cNvPicPr>
                      <a:picLocks noChangeAspect="1" noChangeArrowheads="1"/>
                    </pic:cNvPicPr>
                  </pic:nvPicPr>
                  <pic:blipFill>
                    <a:blip r:embed="rId8" cstate="print"/>
                    <a:srcRect/>
                    <a:stretch>
                      <a:fillRect/>
                    </a:stretch>
                  </pic:blipFill>
                  <pic:spPr bwMode="auto">
                    <a:xfrm>
                      <a:off x="0" y="0"/>
                      <a:ext cx="847725" cy="809625"/>
                    </a:xfrm>
                    <a:prstGeom prst="rect">
                      <a:avLst/>
                    </a:prstGeom>
                    <a:noFill/>
                    <a:ln w="9525">
                      <a:noFill/>
                      <a:miter lim="800000"/>
                      <a:headEnd/>
                      <a:tailEnd/>
                    </a:ln>
                  </pic:spPr>
                </pic:pic>
              </a:graphicData>
            </a:graphic>
          </wp:anchor>
        </w:drawing>
      </w:r>
    </w:p>
    <w:p w:rsidR="00243C8B" w:rsidRDefault="00243C8B" w:rsidP="00243C8B">
      <w:pPr>
        <w:ind w:left="6350" w:hanging="5986"/>
        <w:jc w:val="center"/>
        <w:rPr>
          <w:rFonts w:cs="B Titr"/>
          <w:sz w:val="28"/>
          <w:szCs w:val="28"/>
          <w:rtl/>
          <w:lang w:bidi="fa-IR"/>
        </w:rPr>
      </w:pPr>
    </w:p>
    <w:p w:rsidR="00C95614" w:rsidRPr="003E3329" w:rsidRDefault="00824EE7" w:rsidP="00243C8B">
      <w:pPr>
        <w:ind w:left="6350" w:hanging="5986"/>
        <w:jc w:val="center"/>
        <w:rPr>
          <w:rFonts w:cs="B Titr"/>
          <w:sz w:val="28"/>
          <w:szCs w:val="28"/>
          <w:rtl/>
          <w:lang w:bidi="fa-IR"/>
        </w:rPr>
      </w:pPr>
      <w:r w:rsidRPr="003E3329">
        <w:rPr>
          <w:rFonts w:cs="B Titr" w:hint="cs"/>
          <w:sz w:val="28"/>
          <w:szCs w:val="28"/>
          <w:rtl/>
          <w:lang w:bidi="fa-IR"/>
        </w:rPr>
        <w:t xml:space="preserve">آگهي </w:t>
      </w:r>
      <w:r w:rsidR="002F4434" w:rsidRPr="003E3329">
        <w:rPr>
          <w:rFonts w:cs="B Titr" w:hint="cs"/>
          <w:sz w:val="28"/>
          <w:szCs w:val="28"/>
          <w:rtl/>
          <w:lang w:bidi="fa-IR"/>
        </w:rPr>
        <w:t xml:space="preserve"> مناقصه</w:t>
      </w:r>
      <w:r w:rsidR="005B5697" w:rsidRPr="003E3329">
        <w:rPr>
          <w:rFonts w:cs="B Titr" w:hint="cs"/>
          <w:sz w:val="28"/>
          <w:szCs w:val="28"/>
          <w:rtl/>
          <w:lang w:bidi="fa-IR"/>
        </w:rPr>
        <w:t xml:space="preserve"> عمومي</w:t>
      </w:r>
      <w:r w:rsidR="00823E0D">
        <w:rPr>
          <w:rFonts w:cs="B Titr" w:hint="cs"/>
          <w:sz w:val="28"/>
          <w:szCs w:val="28"/>
          <w:rtl/>
          <w:lang w:bidi="fa-IR"/>
        </w:rPr>
        <w:t>( با ارزيابي كيفي)</w:t>
      </w:r>
    </w:p>
    <w:p w:rsidR="00C95614" w:rsidRPr="001604C6" w:rsidRDefault="00C95614">
      <w:pPr>
        <w:rPr>
          <w:rtl/>
          <w:lang w:bidi="fa-IR"/>
        </w:rPr>
      </w:pPr>
    </w:p>
    <w:p w:rsidR="00741670" w:rsidRPr="003E3329" w:rsidRDefault="003E3329" w:rsidP="00562515">
      <w:pPr>
        <w:ind w:left="680" w:right="709"/>
        <w:jc w:val="lowKashida"/>
        <w:rPr>
          <w:rFonts w:cs="B Zar"/>
          <w:color w:val="000000" w:themeColor="text1"/>
          <w:rtl/>
          <w:lang w:bidi="fa-IR"/>
        </w:rPr>
      </w:pPr>
      <w:r w:rsidRPr="003E3329">
        <w:rPr>
          <w:rFonts w:cs="B Zar" w:hint="cs"/>
          <w:color w:val="000000" w:themeColor="text1"/>
          <w:rtl/>
          <w:lang w:bidi="fa-IR"/>
        </w:rPr>
        <w:t xml:space="preserve">     </w:t>
      </w:r>
      <w:r w:rsidR="003250E1" w:rsidRPr="003E3329">
        <w:rPr>
          <w:rFonts w:cs="B Zar" w:hint="cs"/>
          <w:color w:val="000000" w:themeColor="text1"/>
          <w:rtl/>
          <w:lang w:bidi="fa-IR"/>
        </w:rPr>
        <w:t>با توجه به اينكه شهرداري بندر بوشهر در</w:t>
      </w:r>
      <w:r w:rsidR="003250E1" w:rsidRPr="003E3329">
        <w:rPr>
          <w:rFonts w:cs="B Zar" w:hint="cs"/>
          <w:rtl/>
          <w:lang w:bidi="fa-IR"/>
        </w:rPr>
        <w:t xml:space="preserve"> نظر دارد</w:t>
      </w:r>
      <w:r w:rsidR="002F4434" w:rsidRPr="003E3329">
        <w:rPr>
          <w:rFonts w:cs="B Zar" w:hint="cs"/>
          <w:rtl/>
          <w:lang w:bidi="fa-IR"/>
        </w:rPr>
        <w:t xml:space="preserve"> خدمات شهري خود را شامل</w:t>
      </w:r>
      <w:r w:rsidRPr="003E3329">
        <w:rPr>
          <w:rFonts w:cs="B Zar" w:hint="cs"/>
          <w:rtl/>
          <w:lang w:bidi="fa-IR"/>
        </w:rPr>
        <w:t xml:space="preserve"> </w:t>
      </w:r>
      <w:r w:rsidR="007D24D4" w:rsidRPr="003E3329">
        <w:rPr>
          <w:rFonts w:cs="B Zar" w:hint="cs"/>
          <w:rtl/>
          <w:lang w:bidi="fa-IR"/>
        </w:rPr>
        <w:t>جمع آوري زباله و ضايعات و تنظيف معابر و لايروبي و شستشوي كانال هاي سطح شهر</w:t>
      </w:r>
      <w:r w:rsidR="003250E1" w:rsidRPr="003E3329">
        <w:rPr>
          <w:rFonts w:cs="B Zar" w:hint="cs"/>
          <w:rtl/>
          <w:lang w:bidi="fa-IR"/>
        </w:rPr>
        <w:t xml:space="preserve">را به </w:t>
      </w:r>
      <w:r w:rsidR="007D24D4" w:rsidRPr="003E3329">
        <w:rPr>
          <w:rFonts w:cs="B Zar" w:hint="cs"/>
          <w:rtl/>
          <w:lang w:bidi="fa-IR"/>
        </w:rPr>
        <w:t xml:space="preserve"> پي</w:t>
      </w:r>
      <w:r w:rsidR="00562515" w:rsidRPr="003E3329">
        <w:rPr>
          <w:rFonts w:cs="B Zar" w:hint="cs"/>
          <w:rtl/>
          <w:lang w:bidi="fa-IR"/>
        </w:rPr>
        <w:t>م</w:t>
      </w:r>
      <w:r w:rsidR="007D24D4" w:rsidRPr="003E3329">
        <w:rPr>
          <w:rFonts w:cs="B Zar" w:hint="cs"/>
          <w:rtl/>
          <w:lang w:bidi="fa-IR"/>
        </w:rPr>
        <w:t>انكاران</w:t>
      </w:r>
      <w:r w:rsidR="003250E1" w:rsidRPr="003E3329">
        <w:rPr>
          <w:rFonts w:cs="B Zar" w:hint="cs"/>
          <w:rtl/>
          <w:lang w:bidi="fa-IR"/>
        </w:rPr>
        <w:t xml:space="preserve"> واجد صلاحيت و داراي شرايط </w:t>
      </w:r>
      <w:r w:rsidR="003250E1" w:rsidRPr="003E3329">
        <w:rPr>
          <w:rFonts w:cs="B Zar" w:hint="cs"/>
          <w:color w:val="000000" w:themeColor="text1"/>
          <w:rtl/>
          <w:lang w:bidi="fa-IR"/>
        </w:rPr>
        <w:t>مربوطه از سازمان هاي ذيربط واگذار نمايد</w:t>
      </w:r>
      <w:r w:rsidR="00DF076B" w:rsidRPr="003E3329">
        <w:rPr>
          <w:rFonts w:cs="B Zar" w:hint="cs"/>
          <w:color w:val="000000" w:themeColor="text1"/>
          <w:rtl/>
          <w:lang w:bidi="fa-IR"/>
        </w:rPr>
        <w:t>،</w:t>
      </w:r>
      <w:r w:rsidR="003250E1" w:rsidRPr="003E3329">
        <w:rPr>
          <w:rFonts w:cs="B Zar" w:hint="cs"/>
          <w:color w:val="000000" w:themeColor="text1"/>
          <w:rtl/>
          <w:lang w:bidi="fa-IR"/>
        </w:rPr>
        <w:t xml:space="preserve"> لذا از كليه </w:t>
      </w:r>
      <w:r w:rsidR="007D24D4" w:rsidRPr="003E3329">
        <w:rPr>
          <w:rFonts w:cs="B Zar" w:hint="cs"/>
          <w:color w:val="000000" w:themeColor="text1"/>
          <w:rtl/>
          <w:lang w:bidi="fa-IR"/>
        </w:rPr>
        <w:t xml:space="preserve"> شركتهاي</w:t>
      </w:r>
      <w:r w:rsidR="005B5697" w:rsidRPr="003E3329">
        <w:rPr>
          <w:rFonts w:cs="B Zar" w:hint="cs"/>
          <w:color w:val="000000" w:themeColor="text1"/>
          <w:rtl/>
          <w:lang w:bidi="fa-IR"/>
        </w:rPr>
        <w:t xml:space="preserve"> واجد صلاحيت  كه داراي سابقه كاري مرتبط و گواهينامه صلاحيت در رشته مربوطه هستند </w:t>
      </w:r>
      <w:r w:rsidR="003250E1" w:rsidRPr="003E3329">
        <w:rPr>
          <w:rFonts w:cs="B Zar" w:hint="cs"/>
          <w:color w:val="000000" w:themeColor="text1"/>
          <w:rtl/>
          <w:lang w:bidi="fa-IR"/>
        </w:rPr>
        <w:t xml:space="preserve">دعوت مي گردد </w:t>
      </w:r>
      <w:r w:rsidR="00DF076B" w:rsidRPr="003E3329">
        <w:rPr>
          <w:rFonts w:cs="B Zar" w:hint="cs"/>
          <w:color w:val="000000" w:themeColor="text1"/>
          <w:rtl/>
          <w:lang w:bidi="fa-IR"/>
        </w:rPr>
        <w:t xml:space="preserve">مطابق جدول زمانبندي ذيل به </w:t>
      </w:r>
      <w:r w:rsidR="00DF076B" w:rsidRPr="003E3329">
        <w:rPr>
          <w:rFonts w:cs="B Zar" w:hint="cs"/>
          <w:b/>
          <w:bCs/>
          <w:color w:val="000000" w:themeColor="text1"/>
          <w:rtl/>
          <w:lang w:bidi="fa-IR"/>
        </w:rPr>
        <w:t xml:space="preserve">اداره امور پيمان شهرداري بندر بوشهر </w:t>
      </w:r>
      <w:r w:rsidR="00DF076B" w:rsidRPr="003E3329">
        <w:rPr>
          <w:rFonts w:cs="B Zar" w:hint="cs"/>
          <w:color w:val="000000" w:themeColor="text1"/>
          <w:rtl/>
          <w:lang w:bidi="fa-IR"/>
        </w:rPr>
        <w:t>واقع در ميدان شهرداري مراجعه نمايند.</w:t>
      </w:r>
    </w:p>
    <w:tbl>
      <w:tblPr>
        <w:tblStyle w:val="TableGrid"/>
        <w:tblpPr w:leftFromText="180" w:rightFromText="180" w:vertAnchor="text" w:horzAnchor="margin" w:tblpXSpec="center" w:tblpY="46"/>
        <w:tblOverlap w:val="never"/>
        <w:bidiVisual/>
        <w:tblW w:w="0" w:type="auto"/>
        <w:tblLayout w:type="fixed"/>
        <w:tblLook w:val="04A0" w:firstRow="1" w:lastRow="0" w:firstColumn="1" w:lastColumn="0" w:noHBand="0" w:noVBand="1"/>
      </w:tblPr>
      <w:tblGrid>
        <w:gridCol w:w="630"/>
        <w:gridCol w:w="2092"/>
        <w:gridCol w:w="1058"/>
        <w:gridCol w:w="1260"/>
        <w:gridCol w:w="1170"/>
        <w:gridCol w:w="1260"/>
        <w:gridCol w:w="2765"/>
        <w:gridCol w:w="2191"/>
        <w:gridCol w:w="2410"/>
      </w:tblGrid>
      <w:tr w:rsidR="002F4434" w:rsidTr="001123B1">
        <w:trPr>
          <w:cantSplit/>
          <w:trHeight w:val="1134"/>
        </w:trPr>
        <w:tc>
          <w:tcPr>
            <w:tcW w:w="630" w:type="dxa"/>
            <w:shd w:val="clear" w:color="auto" w:fill="B6DDE8" w:themeFill="accent5" w:themeFillTint="66"/>
            <w:textDirection w:val="tbRl"/>
            <w:vAlign w:val="center"/>
          </w:tcPr>
          <w:p w:rsidR="007D24D4" w:rsidRPr="003A4D25" w:rsidRDefault="007D24D4" w:rsidP="001123B1">
            <w:pPr>
              <w:ind w:left="113" w:right="317"/>
              <w:jc w:val="center"/>
              <w:rPr>
                <w:rFonts w:cs="B Titr"/>
                <w:sz w:val="28"/>
                <w:szCs w:val="28"/>
                <w:rtl/>
                <w:lang w:bidi="fa-IR"/>
              </w:rPr>
            </w:pPr>
            <w:r w:rsidRPr="003A4D25">
              <w:rPr>
                <w:rFonts w:cs="B Titr" w:hint="cs"/>
                <w:sz w:val="28"/>
                <w:szCs w:val="28"/>
                <w:rtl/>
                <w:lang w:bidi="fa-IR"/>
              </w:rPr>
              <w:t>رديف</w:t>
            </w:r>
          </w:p>
        </w:tc>
        <w:tc>
          <w:tcPr>
            <w:tcW w:w="2092" w:type="dxa"/>
            <w:shd w:val="clear" w:color="auto" w:fill="B6DDE8" w:themeFill="accent5" w:themeFillTint="66"/>
            <w:vAlign w:val="center"/>
          </w:tcPr>
          <w:p w:rsidR="007D24D4" w:rsidRPr="003A4D25" w:rsidRDefault="007D24D4" w:rsidP="001123B1">
            <w:pPr>
              <w:ind w:left="522" w:right="709"/>
              <w:jc w:val="center"/>
              <w:rPr>
                <w:rFonts w:cs="B Titr"/>
                <w:sz w:val="20"/>
                <w:szCs w:val="20"/>
                <w:rtl/>
                <w:lang w:bidi="fa-IR"/>
              </w:rPr>
            </w:pPr>
            <w:r w:rsidRPr="003A4D25">
              <w:rPr>
                <w:rFonts w:cs="B Titr" w:hint="cs"/>
                <w:sz w:val="20"/>
                <w:szCs w:val="20"/>
                <w:rtl/>
                <w:lang w:bidi="fa-IR"/>
              </w:rPr>
              <w:t>موضوع</w:t>
            </w:r>
          </w:p>
        </w:tc>
        <w:tc>
          <w:tcPr>
            <w:tcW w:w="1058" w:type="dxa"/>
            <w:shd w:val="clear" w:color="auto" w:fill="B6DDE8" w:themeFill="accent5" w:themeFillTint="66"/>
            <w:vAlign w:val="center"/>
          </w:tcPr>
          <w:p w:rsidR="007D24D4" w:rsidRPr="003A4D25" w:rsidRDefault="007D24D4" w:rsidP="001123B1">
            <w:pPr>
              <w:ind w:right="176"/>
              <w:jc w:val="center"/>
              <w:rPr>
                <w:rFonts w:cs="B Titr"/>
                <w:sz w:val="18"/>
                <w:szCs w:val="18"/>
                <w:rtl/>
                <w:lang w:bidi="fa-IR"/>
              </w:rPr>
            </w:pPr>
            <w:r w:rsidRPr="003A4D25">
              <w:rPr>
                <w:rFonts w:cs="B Titr" w:hint="cs"/>
                <w:sz w:val="18"/>
                <w:szCs w:val="18"/>
                <w:rtl/>
                <w:lang w:bidi="fa-IR"/>
              </w:rPr>
              <w:t>مدت قرارداد</w:t>
            </w:r>
          </w:p>
        </w:tc>
        <w:tc>
          <w:tcPr>
            <w:tcW w:w="1260" w:type="dxa"/>
            <w:shd w:val="clear" w:color="auto" w:fill="B6DDE8" w:themeFill="accent5" w:themeFillTint="66"/>
            <w:vAlign w:val="center"/>
          </w:tcPr>
          <w:p w:rsidR="007D24D4" w:rsidRPr="003A4D25" w:rsidRDefault="007D24D4" w:rsidP="001123B1">
            <w:pPr>
              <w:ind w:right="55"/>
              <w:jc w:val="center"/>
              <w:rPr>
                <w:rFonts w:cs="B Titr"/>
                <w:sz w:val="18"/>
                <w:szCs w:val="18"/>
                <w:rtl/>
                <w:lang w:bidi="fa-IR"/>
              </w:rPr>
            </w:pPr>
            <w:r w:rsidRPr="003A4D25">
              <w:rPr>
                <w:rFonts w:cs="B Titr" w:hint="cs"/>
                <w:sz w:val="18"/>
                <w:szCs w:val="18"/>
                <w:rtl/>
                <w:lang w:bidi="fa-IR"/>
              </w:rPr>
              <w:t>آخرين مهلت  خريد اسناد</w:t>
            </w:r>
          </w:p>
        </w:tc>
        <w:tc>
          <w:tcPr>
            <w:tcW w:w="1170" w:type="dxa"/>
            <w:shd w:val="clear" w:color="auto" w:fill="B6DDE8" w:themeFill="accent5" w:themeFillTint="66"/>
            <w:vAlign w:val="center"/>
          </w:tcPr>
          <w:p w:rsidR="007D24D4" w:rsidRPr="003A4D25" w:rsidRDefault="007D24D4" w:rsidP="001123B1">
            <w:pPr>
              <w:ind w:right="55"/>
              <w:jc w:val="center"/>
              <w:rPr>
                <w:rFonts w:cs="B Titr"/>
                <w:sz w:val="18"/>
                <w:szCs w:val="18"/>
                <w:rtl/>
                <w:lang w:bidi="fa-IR"/>
              </w:rPr>
            </w:pPr>
            <w:r w:rsidRPr="003A4D25">
              <w:rPr>
                <w:rFonts w:cs="B Titr" w:hint="cs"/>
                <w:sz w:val="18"/>
                <w:szCs w:val="18"/>
                <w:rtl/>
                <w:lang w:bidi="fa-IR"/>
              </w:rPr>
              <w:t>آخرين مهلت  تحويل پاكات</w:t>
            </w:r>
          </w:p>
        </w:tc>
        <w:tc>
          <w:tcPr>
            <w:tcW w:w="1260" w:type="dxa"/>
            <w:shd w:val="clear" w:color="auto" w:fill="B6DDE8" w:themeFill="accent5" w:themeFillTint="66"/>
            <w:vAlign w:val="center"/>
          </w:tcPr>
          <w:p w:rsidR="007D24D4" w:rsidRPr="003A4D25" w:rsidRDefault="007D24D4" w:rsidP="001123B1">
            <w:pPr>
              <w:ind w:right="170"/>
              <w:jc w:val="center"/>
              <w:rPr>
                <w:rFonts w:cs="B Titr"/>
                <w:sz w:val="18"/>
                <w:szCs w:val="18"/>
                <w:rtl/>
                <w:lang w:bidi="fa-IR"/>
              </w:rPr>
            </w:pPr>
            <w:r w:rsidRPr="003A4D25">
              <w:rPr>
                <w:rFonts w:cs="B Titr" w:hint="cs"/>
                <w:sz w:val="18"/>
                <w:szCs w:val="18"/>
                <w:rtl/>
                <w:lang w:bidi="fa-IR"/>
              </w:rPr>
              <w:t>تاريخ بازگشايي پاكتها</w:t>
            </w:r>
          </w:p>
        </w:tc>
        <w:tc>
          <w:tcPr>
            <w:tcW w:w="2765" w:type="dxa"/>
            <w:shd w:val="clear" w:color="auto" w:fill="B6DDE8" w:themeFill="accent5" w:themeFillTint="66"/>
            <w:vAlign w:val="center"/>
          </w:tcPr>
          <w:p w:rsidR="007D24D4" w:rsidRPr="003A4D25" w:rsidRDefault="007D24D4" w:rsidP="001123B1">
            <w:pPr>
              <w:ind w:right="170"/>
              <w:jc w:val="center"/>
              <w:rPr>
                <w:rFonts w:cs="B Titr"/>
                <w:sz w:val="18"/>
                <w:szCs w:val="18"/>
                <w:rtl/>
                <w:lang w:bidi="fa-IR"/>
              </w:rPr>
            </w:pPr>
            <w:r w:rsidRPr="003A4D25">
              <w:rPr>
                <w:rFonts w:cs="B Titr" w:hint="cs"/>
                <w:sz w:val="18"/>
                <w:szCs w:val="18"/>
                <w:rtl/>
                <w:lang w:bidi="fa-IR"/>
              </w:rPr>
              <w:t>مبلغ برآورد اوليه</w:t>
            </w:r>
            <w:r w:rsidR="00956849">
              <w:rPr>
                <w:rFonts w:cs="B Titr" w:hint="cs"/>
                <w:sz w:val="18"/>
                <w:szCs w:val="18"/>
                <w:rtl/>
                <w:lang w:bidi="fa-IR"/>
              </w:rPr>
              <w:t>( به ريال)</w:t>
            </w:r>
          </w:p>
        </w:tc>
        <w:tc>
          <w:tcPr>
            <w:tcW w:w="2191" w:type="dxa"/>
            <w:shd w:val="clear" w:color="auto" w:fill="B6DDE8" w:themeFill="accent5" w:themeFillTint="66"/>
            <w:vAlign w:val="center"/>
          </w:tcPr>
          <w:p w:rsidR="007D24D4" w:rsidRPr="003A4D25" w:rsidRDefault="007D24D4" w:rsidP="001123B1">
            <w:pPr>
              <w:ind w:right="170"/>
              <w:jc w:val="center"/>
              <w:rPr>
                <w:rFonts w:cs="B Titr"/>
                <w:sz w:val="18"/>
                <w:szCs w:val="18"/>
                <w:rtl/>
                <w:lang w:bidi="fa-IR"/>
              </w:rPr>
            </w:pPr>
            <w:r w:rsidRPr="003A4D25">
              <w:rPr>
                <w:rFonts w:cs="B Titr" w:hint="cs"/>
                <w:sz w:val="18"/>
                <w:szCs w:val="18"/>
                <w:rtl/>
                <w:lang w:bidi="fa-IR"/>
              </w:rPr>
              <w:t>تضمين شركت در مناقصه</w:t>
            </w:r>
          </w:p>
        </w:tc>
        <w:tc>
          <w:tcPr>
            <w:tcW w:w="2410" w:type="dxa"/>
            <w:shd w:val="clear" w:color="auto" w:fill="B6DDE8" w:themeFill="accent5" w:themeFillTint="66"/>
            <w:vAlign w:val="center"/>
          </w:tcPr>
          <w:p w:rsidR="007D24D4" w:rsidRPr="003A4D25" w:rsidRDefault="002F4434" w:rsidP="001123B1">
            <w:pPr>
              <w:ind w:right="170"/>
              <w:jc w:val="center"/>
              <w:rPr>
                <w:rFonts w:cs="B Titr"/>
                <w:sz w:val="18"/>
                <w:szCs w:val="18"/>
                <w:rtl/>
                <w:lang w:bidi="fa-IR"/>
              </w:rPr>
            </w:pPr>
            <w:r w:rsidRPr="003A4D25">
              <w:rPr>
                <w:rFonts w:cs="B Titr" w:hint="cs"/>
                <w:sz w:val="18"/>
                <w:szCs w:val="18"/>
                <w:rtl/>
                <w:lang w:bidi="fa-IR"/>
              </w:rPr>
              <w:t xml:space="preserve"> تايد صلاحيت  و گواهي نامه ها  مورد نياز</w:t>
            </w:r>
          </w:p>
        </w:tc>
      </w:tr>
      <w:tr w:rsidR="001123B1" w:rsidTr="001123B1">
        <w:trPr>
          <w:trHeight w:val="915"/>
        </w:trPr>
        <w:tc>
          <w:tcPr>
            <w:tcW w:w="630" w:type="dxa"/>
            <w:vMerge w:val="restart"/>
            <w:shd w:val="clear" w:color="auto" w:fill="B6DDE8" w:themeFill="accent5" w:themeFillTint="66"/>
            <w:vAlign w:val="center"/>
          </w:tcPr>
          <w:p w:rsidR="001123B1" w:rsidRPr="00B176AE" w:rsidRDefault="001123B1" w:rsidP="001123B1">
            <w:pPr>
              <w:ind w:right="134"/>
              <w:jc w:val="center"/>
              <w:rPr>
                <w:rFonts w:cs="B Titr"/>
                <w:rtl/>
                <w:lang w:bidi="fa-IR"/>
              </w:rPr>
            </w:pPr>
            <w:r w:rsidRPr="00B176AE">
              <w:rPr>
                <w:rFonts w:cs="B Titr" w:hint="cs"/>
                <w:rtl/>
                <w:lang w:bidi="fa-IR"/>
              </w:rPr>
              <w:t xml:space="preserve">1  </w:t>
            </w:r>
          </w:p>
        </w:tc>
        <w:tc>
          <w:tcPr>
            <w:tcW w:w="2092" w:type="dxa"/>
            <w:vMerge w:val="restart"/>
            <w:vAlign w:val="center"/>
          </w:tcPr>
          <w:p w:rsidR="001123B1" w:rsidRPr="00956849" w:rsidRDefault="001123B1" w:rsidP="001123B1">
            <w:pPr>
              <w:ind w:right="142"/>
              <w:jc w:val="center"/>
              <w:rPr>
                <w:rFonts w:cs="B Zar"/>
                <w:b/>
                <w:bCs/>
                <w:sz w:val="20"/>
                <w:szCs w:val="20"/>
                <w:rtl/>
                <w:lang w:bidi="fa-IR"/>
              </w:rPr>
            </w:pPr>
            <w:r w:rsidRPr="00956849">
              <w:rPr>
                <w:rFonts w:cs="B Zar" w:hint="cs"/>
                <w:b/>
                <w:bCs/>
                <w:sz w:val="20"/>
                <w:szCs w:val="20"/>
                <w:rtl/>
                <w:lang w:bidi="fa-IR"/>
              </w:rPr>
              <w:t>جمع آوري زباله و ضايعات و تنظيف معابر و لايروبي  و شستشوي كانالهاي سطح و جمع آوري خاك و نخاله شهر</w:t>
            </w:r>
          </w:p>
        </w:tc>
        <w:tc>
          <w:tcPr>
            <w:tcW w:w="1058" w:type="dxa"/>
            <w:vMerge w:val="restart"/>
            <w:vAlign w:val="center"/>
          </w:tcPr>
          <w:p w:rsidR="001123B1" w:rsidRPr="001123B1" w:rsidRDefault="001123B1" w:rsidP="001123B1">
            <w:pPr>
              <w:ind w:left="224" w:right="283"/>
              <w:jc w:val="center"/>
              <w:rPr>
                <w:rFonts w:cs="B Zar"/>
                <w:b/>
                <w:bCs/>
                <w:sz w:val="20"/>
                <w:szCs w:val="20"/>
                <w:rtl/>
                <w:lang w:bidi="fa-IR"/>
              </w:rPr>
            </w:pPr>
            <w:r>
              <w:rPr>
                <w:rFonts w:cs="B Zar" w:hint="cs"/>
                <w:b/>
                <w:bCs/>
                <w:sz w:val="20"/>
                <w:szCs w:val="20"/>
                <w:rtl/>
                <w:lang w:bidi="fa-IR"/>
              </w:rPr>
              <w:t>24 ماه</w:t>
            </w:r>
          </w:p>
        </w:tc>
        <w:tc>
          <w:tcPr>
            <w:tcW w:w="1260" w:type="dxa"/>
            <w:vMerge w:val="restart"/>
            <w:vAlign w:val="center"/>
          </w:tcPr>
          <w:p w:rsidR="001123B1" w:rsidRPr="00C7414C" w:rsidRDefault="001123B1" w:rsidP="001123B1">
            <w:pPr>
              <w:ind w:right="163"/>
              <w:jc w:val="center"/>
              <w:rPr>
                <w:rFonts w:cs="B Zar"/>
                <w:b/>
                <w:bCs/>
                <w:sz w:val="20"/>
                <w:szCs w:val="20"/>
                <w:rtl/>
                <w:lang w:bidi="fa-IR"/>
              </w:rPr>
            </w:pPr>
            <w:r>
              <w:rPr>
                <w:rFonts w:cs="B Zar" w:hint="cs"/>
                <w:b/>
                <w:bCs/>
                <w:sz w:val="20"/>
                <w:szCs w:val="20"/>
                <w:rtl/>
                <w:lang w:bidi="fa-IR"/>
              </w:rPr>
              <w:t>21/09/1397</w:t>
            </w:r>
          </w:p>
        </w:tc>
        <w:tc>
          <w:tcPr>
            <w:tcW w:w="1170" w:type="dxa"/>
            <w:vMerge w:val="restart"/>
            <w:vAlign w:val="center"/>
          </w:tcPr>
          <w:p w:rsidR="001123B1" w:rsidRPr="00C7414C" w:rsidRDefault="001123B1" w:rsidP="001123B1">
            <w:pPr>
              <w:jc w:val="center"/>
              <w:rPr>
                <w:rFonts w:cs="B Zar"/>
                <w:b/>
                <w:bCs/>
                <w:sz w:val="20"/>
                <w:szCs w:val="20"/>
                <w:rtl/>
                <w:lang w:bidi="fa-IR"/>
              </w:rPr>
            </w:pPr>
            <w:r>
              <w:rPr>
                <w:rFonts w:cs="B Zar" w:hint="cs"/>
                <w:b/>
                <w:bCs/>
                <w:sz w:val="20"/>
                <w:szCs w:val="20"/>
                <w:rtl/>
                <w:lang w:bidi="fa-IR"/>
              </w:rPr>
              <w:t>01/10/1397</w:t>
            </w:r>
          </w:p>
        </w:tc>
        <w:tc>
          <w:tcPr>
            <w:tcW w:w="1260" w:type="dxa"/>
            <w:vMerge w:val="restart"/>
            <w:vAlign w:val="center"/>
          </w:tcPr>
          <w:p w:rsidR="001123B1" w:rsidRPr="00C7414C" w:rsidRDefault="001123B1" w:rsidP="001123B1">
            <w:pPr>
              <w:ind w:right="142"/>
              <w:jc w:val="center"/>
              <w:rPr>
                <w:rFonts w:cs="B Zar"/>
                <w:b/>
                <w:bCs/>
                <w:sz w:val="20"/>
                <w:szCs w:val="20"/>
                <w:rtl/>
                <w:lang w:bidi="fa-IR"/>
              </w:rPr>
            </w:pPr>
            <w:r>
              <w:rPr>
                <w:rFonts w:cs="B Zar" w:hint="cs"/>
                <w:b/>
                <w:bCs/>
                <w:sz w:val="20"/>
                <w:szCs w:val="20"/>
                <w:rtl/>
                <w:lang w:bidi="fa-IR"/>
              </w:rPr>
              <w:t>02/10/1397</w:t>
            </w:r>
          </w:p>
        </w:tc>
        <w:tc>
          <w:tcPr>
            <w:tcW w:w="2765" w:type="dxa"/>
            <w:vAlign w:val="center"/>
          </w:tcPr>
          <w:p w:rsidR="001123B1" w:rsidRDefault="001123B1" w:rsidP="001123B1">
            <w:pPr>
              <w:bidi w:val="0"/>
              <w:jc w:val="center"/>
              <w:rPr>
                <w:rFonts w:ascii="Arial" w:hAnsi="Arial" w:cs="B Titr"/>
                <w:color w:val="000000"/>
                <w:sz w:val="22"/>
                <w:szCs w:val="22"/>
                <w:lang w:bidi="fa-IR"/>
              </w:rPr>
            </w:pPr>
            <w:r>
              <w:rPr>
                <w:rFonts w:ascii="Arial" w:hAnsi="Arial" w:cs="B Titr" w:hint="cs"/>
                <w:color w:val="000000"/>
                <w:sz w:val="22"/>
                <w:szCs w:val="22"/>
              </w:rPr>
              <w:t>14,641,804,190</w:t>
            </w:r>
          </w:p>
          <w:p w:rsidR="001123B1" w:rsidRPr="00956849" w:rsidRDefault="001123B1" w:rsidP="001123B1">
            <w:pPr>
              <w:ind w:right="142"/>
              <w:jc w:val="center"/>
              <w:rPr>
                <w:rFonts w:cs="B Titr"/>
                <w:sz w:val="20"/>
                <w:szCs w:val="20"/>
                <w:rtl/>
                <w:lang w:bidi="fa-IR"/>
              </w:rPr>
            </w:pPr>
            <w:r w:rsidRPr="00956849">
              <w:rPr>
                <w:rFonts w:cs="B Titr" w:hint="cs"/>
                <w:sz w:val="20"/>
                <w:szCs w:val="20"/>
                <w:rtl/>
                <w:lang w:bidi="fa-IR"/>
              </w:rPr>
              <w:t>ماهيانه</w:t>
            </w:r>
          </w:p>
        </w:tc>
        <w:tc>
          <w:tcPr>
            <w:tcW w:w="2191" w:type="dxa"/>
            <w:vMerge w:val="restart"/>
            <w:vAlign w:val="center"/>
          </w:tcPr>
          <w:p w:rsidR="001123B1" w:rsidRDefault="001123B1" w:rsidP="001123B1">
            <w:pPr>
              <w:bidi w:val="0"/>
              <w:jc w:val="center"/>
              <w:rPr>
                <w:rFonts w:ascii="Arial" w:hAnsi="Arial" w:cs="B Titr"/>
                <w:color w:val="000000"/>
                <w:sz w:val="22"/>
                <w:szCs w:val="22"/>
                <w:lang w:bidi="fa-IR"/>
              </w:rPr>
            </w:pPr>
            <w:r>
              <w:rPr>
                <w:rFonts w:ascii="Arial" w:hAnsi="Arial" w:cs="B Titr" w:hint="cs"/>
                <w:color w:val="000000"/>
                <w:sz w:val="22"/>
                <w:szCs w:val="22"/>
              </w:rPr>
              <w:t>17,570,165,028</w:t>
            </w:r>
          </w:p>
          <w:p w:rsidR="001123B1" w:rsidRPr="007D24D4" w:rsidRDefault="001123B1" w:rsidP="001123B1">
            <w:pPr>
              <w:ind w:right="142"/>
              <w:jc w:val="center"/>
              <w:rPr>
                <w:rFonts w:cs="B Zar"/>
                <w:sz w:val="20"/>
                <w:szCs w:val="20"/>
                <w:rtl/>
                <w:lang w:bidi="fa-IR"/>
              </w:rPr>
            </w:pPr>
          </w:p>
        </w:tc>
        <w:tc>
          <w:tcPr>
            <w:tcW w:w="2410" w:type="dxa"/>
            <w:vMerge w:val="restart"/>
            <w:vAlign w:val="center"/>
          </w:tcPr>
          <w:p w:rsidR="001123B1" w:rsidRDefault="001123B1" w:rsidP="001123B1">
            <w:pPr>
              <w:ind w:right="142"/>
              <w:jc w:val="center"/>
              <w:rPr>
                <w:rFonts w:cs="B Zar"/>
                <w:sz w:val="20"/>
                <w:szCs w:val="20"/>
                <w:rtl/>
                <w:lang w:bidi="fa-IR"/>
              </w:rPr>
            </w:pPr>
            <w:r>
              <w:rPr>
                <w:rFonts w:cs="B Zar" w:hint="cs"/>
                <w:sz w:val="20"/>
                <w:szCs w:val="20"/>
                <w:rtl/>
                <w:lang w:bidi="fa-IR"/>
              </w:rPr>
              <w:t>تائيد صلاحيت اداره كار در كد 4</w:t>
            </w:r>
          </w:p>
          <w:p w:rsidR="001123B1" w:rsidRDefault="001123B1" w:rsidP="001123B1">
            <w:pPr>
              <w:ind w:right="142"/>
              <w:jc w:val="center"/>
              <w:rPr>
                <w:rFonts w:cs="B Zar"/>
                <w:sz w:val="20"/>
                <w:szCs w:val="20"/>
                <w:rtl/>
                <w:lang w:bidi="fa-IR"/>
              </w:rPr>
            </w:pPr>
            <w:r>
              <w:rPr>
                <w:rFonts w:cs="B Zar" w:hint="cs"/>
                <w:sz w:val="20"/>
                <w:szCs w:val="20"/>
                <w:rtl/>
                <w:lang w:bidi="fa-IR"/>
              </w:rPr>
              <w:t>( خدمات عمومي)</w:t>
            </w:r>
          </w:p>
          <w:p w:rsidR="001123B1" w:rsidRPr="007D24D4" w:rsidRDefault="001123B1" w:rsidP="001123B1">
            <w:pPr>
              <w:ind w:right="142"/>
              <w:jc w:val="center"/>
              <w:rPr>
                <w:rFonts w:cs="B Zar"/>
                <w:sz w:val="20"/>
                <w:szCs w:val="20"/>
                <w:rtl/>
                <w:lang w:bidi="fa-IR"/>
              </w:rPr>
            </w:pPr>
            <w:r>
              <w:rPr>
                <w:rFonts w:cs="B Zar" w:hint="cs"/>
                <w:sz w:val="20"/>
                <w:szCs w:val="20"/>
                <w:rtl/>
                <w:lang w:bidi="fa-IR"/>
              </w:rPr>
              <w:t>گواهينامه ثبت نام ماليات بر ارزش افزوده</w:t>
            </w:r>
          </w:p>
        </w:tc>
      </w:tr>
      <w:tr w:rsidR="001123B1" w:rsidTr="001123B1">
        <w:trPr>
          <w:trHeight w:val="736"/>
        </w:trPr>
        <w:tc>
          <w:tcPr>
            <w:tcW w:w="630" w:type="dxa"/>
            <w:vMerge/>
            <w:shd w:val="clear" w:color="auto" w:fill="B6DDE8" w:themeFill="accent5" w:themeFillTint="66"/>
            <w:vAlign w:val="center"/>
          </w:tcPr>
          <w:p w:rsidR="001123B1" w:rsidRPr="00B176AE" w:rsidRDefault="001123B1" w:rsidP="001123B1">
            <w:pPr>
              <w:ind w:right="134"/>
              <w:jc w:val="center"/>
              <w:rPr>
                <w:rFonts w:cs="B Titr"/>
                <w:rtl/>
                <w:lang w:bidi="fa-IR"/>
              </w:rPr>
            </w:pPr>
          </w:p>
        </w:tc>
        <w:tc>
          <w:tcPr>
            <w:tcW w:w="2092" w:type="dxa"/>
            <w:vMerge/>
            <w:vAlign w:val="center"/>
          </w:tcPr>
          <w:p w:rsidR="001123B1" w:rsidRPr="002F4434" w:rsidRDefault="001123B1" w:rsidP="001123B1">
            <w:pPr>
              <w:ind w:right="142"/>
              <w:jc w:val="center"/>
              <w:rPr>
                <w:rFonts w:cs="B Zar"/>
                <w:sz w:val="20"/>
                <w:szCs w:val="20"/>
                <w:rtl/>
                <w:lang w:bidi="fa-IR"/>
              </w:rPr>
            </w:pPr>
          </w:p>
        </w:tc>
        <w:tc>
          <w:tcPr>
            <w:tcW w:w="1058" w:type="dxa"/>
            <w:vMerge/>
            <w:vAlign w:val="center"/>
          </w:tcPr>
          <w:p w:rsidR="001123B1" w:rsidRPr="00C7414C" w:rsidRDefault="001123B1" w:rsidP="001123B1">
            <w:pPr>
              <w:ind w:left="224" w:right="283"/>
              <w:jc w:val="center"/>
              <w:rPr>
                <w:rFonts w:cs="B Zar"/>
                <w:b/>
                <w:bCs/>
                <w:sz w:val="20"/>
                <w:szCs w:val="20"/>
                <w:rtl/>
                <w:lang w:bidi="fa-IR"/>
              </w:rPr>
            </w:pPr>
          </w:p>
        </w:tc>
        <w:tc>
          <w:tcPr>
            <w:tcW w:w="1260" w:type="dxa"/>
            <w:vMerge/>
            <w:vAlign w:val="center"/>
          </w:tcPr>
          <w:p w:rsidR="001123B1" w:rsidRDefault="001123B1" w:rsidP="001123B1">
            <w:pPr>
              <w:ind w:right="163"/>
              <w:jc w:val="center"/>
              <w:rPr>
                <w:rFonts w:cs="B Zar"/>
                <w:b/>
                <w:bCs/>
                <w:sz w:val="20"/>
                <w:szCs w:val="20"/>
                <w:rtl/>
                <w:lang w:bidi="fa-IR"/>
              </w:rPr>
            </w:pPr>
          </w:p>
        </w:tc>
        <w:tc>
          <w:tcPr>
            <w:tcW w:w="1170" w:type="dxa"/>
            <w:vMerge/>
            <w:vAlign w:val="center"/>
          </w:tcPr>
          <w:p w:rsidR="001123B1" w:rsidRDefault="001123B1" w:rsidP="001123B1">
            <w:pPr>
              <w:jc w:val="center"/>
              <w:rPr>
                <w:rFonts w:cs="B Zar"/>
                <w:b/>
                <w:bCs/>
                <w:sz w:val="20"/>
                <w:szCs w:val="20"/>
                <w:rtl/>
                <w:lang w:bidi="fa-IR"/>
              </w:rPr>
            </w:pPr>
          </w:p>
        </w:tc>
        <w:tc>
          <w:tcPr>
            <w:tcW w:w="1260" w:type="dxa"/>
            <w:vMerge/>
            <w:vAlign w:val="center"/>
          </w:tcPr>
          <w:p w:rsidR="001123B1" w:rsidRDefault="001123B1" w:rsidP="001123B1">
            <w:pPr>
              <w:ind w:right="142"/>
              <w:jc w:val="center"/>
              <w:rPr>
                <w:rFonts w:cs="B Zar"/>
                <w:b/>
                <w:bCs/>
                <w:sz w:val="20"/>
                <w:szCs w:val="20"/>
                <w:rtl/>
                <w:lang w:bidi="fa-IR"/>
              </w:rPr>
            </w:pPr>
          </w:p>
        </w:tc>
        <w:tc>
          <w:tcPr>
            <w:tcW w:w="2765" w:type="dxa"/>
            <w:vAlign w:val="center"/>
          </w:tcPr>
          <w:p w:rsidR="001123B1" w:rsidRDefault="001123B1" w:rsidP="001123B1">
            <w:pPr>
              <w:bidi w:val="0"/>
              <w:jc w:val="center"/>
              <w:rPr>
                <w:rFonts w:ascii="Arial" w:hAnsi="Arial" w:cs="B Titr"/>
                <w:color w:val="000000"/>
                <w:sz w:val="22"/>
                <w:szCs w:val="22"/>
                <w:lang w:bidi="fa-IR"/>
              </w:rPr>
            </w:pPr>
            <w:r>
              <w:rPr>
                <w:rFonts w:ascii="Arial" w:hAnsi="Arial" w:cs="B Titr" w:hint="cs"/>
                <w:color w:val="000000"/>
                <w:sz w:val="22"/>
                <w:szCs w:val="22"/>
              </w:rPr>
              <w:t>175,701,650,277</w:t>
            </w:r>
          </w:p>
          <w:p w:rsidR="001123B1" w:rsidRDefault="001123B1" w:rsidP="001123B1">
            <w:pPr>
              <w:ind w:right="142"/>
              <w:jc w:val="center"/>
              <w:rPr>
                <w:rFonts w:cs="B Zar"/>
                <w:b/>
                <w:bCs/>
                <w:rtl/>
                <w:lang w:bidi="fa-IR"/>
              </w:rPr>
            </w:pPr>
            <w:r>
              <w:rPr>
                <w:rFonts w:cs="B Zar" w:hint="cs"/>
                <w:b/>
                <w:bCs/>
                <w:rtl/>
                <w:lang w:bidi="fa-IR"/>
              </w:rPr>
              <w:t>( ساليانه)</w:t>
            </w:r>
          </w:p>
        </w:tc>
        <w:tc>
          <w:tcPr>
            <w:tcW w:w="2191" w:type="dxa"/>
            <w:vMerge/>
            <w:vAlign w:val="center"/>
          </w:tcPr>
          <w:p w:rsidR="001123B1" w:rsidRPr="00C7414C" w:rsidRDefault="001123B1" w:rsidP="001123B1">
            <w:pPr>
              <w:ind w:right="142"/>
              <w:jc w:val="center"/>
              <w:rPr>
                <w:rFonts w:cs="B Zar"/>
                <w:b/>
                <w:bCs/>
                <w:sz w:val="20"/>
                <w:szCs w:val="20"/>
                <w:rtl/>
                <w:lang w:bidi="fa-IR"/>
              </w:rPr>
            </w:pPr>
          </w:p>
        </w:tc>
        <w:tc>
          <w:tcPr>
            <w:tcW w:w="2410" w:type="dxa"/>
            <w:vMerge/>
            <w:vAlign w:val="center"/>
          </w:tcPr>
          <w:p w:rsidR="001123B1" w:rsidRDefault="001123B1" w:rsidP="001123B1">
            <w:pPr>
              <w:ind w:right="142"/>
              <w:jc w:val="center"/>
              <w:rPr>
                <w:rFonts w:cs="B Zar"/>
                <w:sz w:val="20"/>
                <w:szCs w:val="20"/>
                <w:rtl/>
                <w:lang w:bidi="fa-IR"/>
              </w:rPr>
            </w:pPr>
          </w:p>
        </w:tc>
      </w:tr>
    </w:tbl>
    <w:p w:rsidR="00646B76" w:rsidRPr="002F4434" w:rsidRDefault="001123B1" w:rsidP="00646B76">
      <w:pPr>
        <w:ind w:left="397"/>
        <w:jc w:val="lowKashida"/>
        <w:rPr>
          <w:rFonts w:cs="B Titr"/>
          <w:sz w:val="28"/>
          <w:szCs w:val="28"/>
          <w:rtl/>
          <w:lang w:bidi="fa-IR"/>
        </w:rPr>
      </w:pPr>
      <w:r>
        <w:rPr>
          <w:rFonts w:cs="B Titr"/>
          <w:rtl/>
          <w:lang w:bidi="fa-IR"/>
        </w:rPr>
        <w:br w:type="textWrapping" w:clear="all"/>
      </w:r>
      <w:r w:rsidR="00646B76" w:rsidRPr="002F4434">
        <w:rPr>
          <w:rFonts w:cs="B Titr" w:hint="cs"/>
          <w:rtl/>
          <w:lang w:bidi="fa-IR"/>
        </w:rPr>
        <w:t>توضيحات</w:t>
      </w:r>
      <w:r w:rsidR="00646B76" w:rsidRPr="002F4434">
        <w:rPr>
          <w:rFonts w:cs="B Titr" w:hint="cs"/>
          <w:sz w:val="28"/>
          <w:szCs w:val="28"/>
          <w:rtl/>
          <w:lang w:bidi="fa-IR"/>
        </w:rPr>
        <w:t xml:space="preserve">: </w:t>
      </w:r>
    </w:p>
    <w:p w:rsidR="002F4434" w:rsidRPr="003E3329" w:rsidRDefault="002F4434" w:rsidP="008E2653">
      <w:pPr>
        <w:numPr>
          <w:ilvl w:val="0"/>
          <w:numId w:val="4"/>
        </w:numPr>
        <w:tabs>
          <w:tab w:val="right" w:pos="15076"/>
        </w:tabs>
        <w:ind w:right="630"/>
        <w:jc w:val="lowKashida"/>
        <w:rPr>
          <w:rFonts w:cs="B Zar"/>
          <w:lang w:bidi="fa-IR"/>
        </w:rPr>
      </w:pPr>
      <w:r w:rsidRPr="003E3329">
        <w:rPr>
          <w:rFonts w:cs="B Zar" w:hint="cs"/>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w:t>
      </w:r>
      <w:r w:rsidR="008E2653" w:rsidRPr="003E3329">
        <w:rPr>
          <w:rFonts w:cs="B Zar" w:hint="cs"/>
          <w:rtl/>
          <w:lang w:bidi="fa-IR"/>
        </w:rPr>
        <w:t>حساب  سپرده شماره 1003288684 بانك شهر مركزي</w:t>
      </w:r>
      <w:r w:rsidR="00243C8B">
        <w:rPr>
          <w:rFonts w:cs="B Zar" w:hint="cs"/>
          <w:rtl/>
          <w:lang w:bidi="fa-IR"/>
        </w:rPr>
        <w:t xml:space="preserve"> </w:t>
      </w:r>
      <w:r w:rsidRPr="003E3329">
        <w:rPr>
          <w:rFonts w:cs="B Zar" w:hint="cs"/>
          <w:rtl/>
          <w:lang w:bidi="fa-IR"/>
        </w:rPr>
        <w:t xml:space="preserve">ارائه گردد. </w:t>
      </w:r>
    </w:p>
    <w:p w:rsidR="00C7414C" w:rsidRPr="003E3329" w:rsidRDefault="00C7414C" w:rsidP="002F4434">
      <w:pPr>
        <w:numPr>
          <w:ilvl w:val="0"/>
          <w:numId w:val="4"/>
        </w:numPr>
        <w:tabs>
          <w:tab w:val="right" w:pos="15076"/>
        </w:tabs>
        <w:ind w:right="630"/>
        <w:jc w:val="lowKashida"/>
        <w:rPr>
          <w:rFonts w:cs="B Zar"/>
          <w:rtl/>
          <w:lang w:bidi="fa-IR"/>
        </w:rPr>
      </w:pPr>
      <w:r w:rsidRPr="003E3329">
        <w:rPr>
          <w:rFonts w:cs="B Zar" w:hint="cs"/>
          <w:rtl/>
          <w:lang w:bidi="fa-IR"/>
        </w:rPr>
        <w:t>به اين قرارداد پيش پرداخت تعلق نمي گيرد.</w:t>
      </w:r>
    </w:p>
    <w:p w:rsidR="007C5B82" w:rsidRPr="003E3329" w:rsidRDefault="007C5B82" w:rsidP="007C5B82">
      <w:pPr>
        <w:numPr>
          <w:ilvl w:val="0"/>
          <w:numId w:val="4"/>
        </w:numPr>
        <w:jc w:val="lowKashida"/>
        <w:rPr>
          <w:rFonts w:cs="B Zar"/>
          <w:rtl/>
          <w:lang w:bidi="fa-IR"/>
        </w:rPr>
      </w:pPr>
      <w:r w:rsidRPr="003E3329">
        <w:rPr>
          <w:rFonts w:cs="B Zar" w:hint="cs"/>
          <w:rtl/>
          <w:lang w:bidi="fa-IR"/>
        </w:rPr>
        <w:t>حضور نمايندگان شركتها با در دست داشتن معرفي نامه كتبي در جلسه مناقصه آزاد است.</w:t>
      </w:r>
    </w:p>
    <w:p w:rsidR="002F4434" w:rsidRPr="003E3329" w:rsidRDefault="007C5B82" w:rsidP="007C5B82">
      <w:pPr>
        <w:pStyle w:val="ListParagraph"/>
        <w:numPr>
          <w:ilvl w:val="0"/>
          <w:numId w:val="4"/>
        </w:numPr>
        <w:jc w:val="lowKashida"/>
        <w:rPr>
          <w:rFonts w:cs="B Zar"/>
          <w:lang w:bidi="fa-IR"/>
        </w:rPr>
      </w:pPr>
      <w:r w:rsidRPr="003E3329">
        <w:rPr>
          <w:rFonts w:cs="B Zar" w:hint="cs"/>
          <w:rtl/>
          <w:lang w:bidi="fa-IR"/>
        </w:rPr>
        <w:t>در صورتيكه برندگان اول و دوم مناقصه حاضر به انعقاد قرارداد نشوند سپرده آنها به ترتيب ضبط خواهد.</w:t>
      </w:r>
    </w:p>
    <w:p w:rsidR="00C7414C" w:rsidRPr="003E3329" w:rsidRDefault="00C7414C" w:rsidP="00C7414C">
      <w:pPr>
        <w:jc w:val="lowKashida"/>
        <w:rPr>
          <w:rFonts w:cs="B Zar"/>
          <w:rtl/>
          <w:lang w:bidi="fa-IR"/>
        </w:rPr>
      </w:pPr>
    </w:p>
    <w:p w:rsidR="00C7414C" w:rsidRPr="003E3329" w:rsidRDefault="00C7414C" w:rsidP="00C7414C">
      <w:pPr>
        <w:jc w:val="lowKashida"/>
        <w:rPr>
          <w:rFonts w:cs="B Zar"/>
          <w:rtl/>
          <w:lang w:bidi="fa-IR"/>
        </w:rPr>
      </w:pPr>
    </w:p>
    <w:p w:rsidR="00C7414C" w:rsidRDefault="00C7414C" w:rsidP="00C7414C">
      <w:pPr>
        <w:jc w:val="lowKashida"/>
        <w:rPr>
          <w:rFonts w:cs="B Zar"/>
          <w:rtl/>
          <w:lang w:bidi="fa-IR"/>
        </w:rPr>
      </w:pPr>
    </w:p>
    <w:p w:rsidR="00775357" w:rsidRDefault="00775357" w:rsidP="00C7414C">
      <w:pPr>
        <w:jc w:val="lowKashida"/>
        <w:rPr>
          <w:rFonts w:cs="B Zar"/>
          <w:rtl/>
          <w:lang w:bidi="fa-IR"/>
        </w:rPr>
      </w:pPr>
    </w:p>
    <w:p w:rsidR="00775357" w:rsidRPr="003E3329" w:rsidRDefault="00775357" w:rsidP="00C7414C">
      <w:pPr>
        <w:jc w:val="lowKashida"/>
        <w:rPr>
          <w:rFonts w:cs="B Zar"/>
          <w:rtl/>
          <w:lang w:bidi="fa-IR"/>
        </w:rPr>
      </w:pPr>
    </w:p>
    <w:p w:rsidR="00C7414C" w:rsidRPr="003E3329" w:rsidRDefault="00C7414C" w:rsidP="00C7414C">
      <w:pPr>
        <w:jc w:val="lowKashida"/>
        <w:rPr>
          <w:rFonts w:cs="B Zar"/>
          <w:lang w:bidi="fa-IR"/>
        </w:rPr>
      </w:pPr>
    </w:p>
    <w:p w:rsidR="00646B76" w:rsidRPr="003E3329" w:rsidRDefault="00646B76" w:rsidP="00562515">
      <w:pPr>
        <w:pStyle w:val="ListParagraph"/>
        <w:numPr>
          <w:ilvl w:val="0"/>
          <w:numId w:val="4"/>
        </w:numPr>
        <w:jc w:val="lowKashida"/>
        <w:rPr>
          <w:rFonts w:cs="B Zar"/>
          <w:rtl/>
          <w:lang w:bidi="fa-IR"/>
        </w:rPr>
      </w:pPr>
      <w:r w:rsidRPr="003E3329">
        <w:rPr>
          <w:rFonts w:cs="B Zar" w:hint="cs"/>
          <w:rtl/>
          <w:lang w:bidi="fa-IR"/>
        </w:rPr>
        <w:t xml:space="preserve">محل وآخرين مهلت تحويل اسناد </w:t>
      </w:r>
      <w:r w:rsidR="00562515" w:rsidRPr="003E3329">
        <w:rPr>
          <w:rFonts w:cs="B Zar" w:hint="cs"/>
          <w:rtl/>
          <w:lang w:bidi="fa-IR"/>
        </w:rPr>
        <w:t xml:space="preserve"> مناقصه</w:t>
      </w:r>
      <w:r w:rsidRPr="003E3329">
        <w:rPr>
          <w:rFonts w:cs="B Zar" w:hint="cs"/>
          <w:rtl/>
          <w:lang w:bidi="fa-IR"/>
        </w:rPr>
        <w:t xml:space="preserve">: اداره امور پيمان شهرداري بندر بوشهر- تا پايان وقت اداري مورخ درج شده در جدول </w:t>
      </w:r>
    </w:p>
    <w:p w:rsidR="00646B76" w:rsidRPr="003E3329" w:rsidRDefault="00646B76" w:rsidP="008E2653">
      <w:pPr>
        <w:pStyle w:val="ListParagraph"/>
        <w:numPr>
          <w:ilvl w:val="0"/>
          <w:numId w:val="4"/>
        </w:numPr>
        <w:jc w:val="lowKashida"/>
        <w:rPr>
          <w:rFonts w:cs="B Zar"/>
          <w:rtl/>
          <w:lang w:bidi="fa-IR"/>
        </w:rPr>
      </w:pPr>
      <w:r w:rsidRPr="003E3329">
        <w:rPr>
          <w:rFonts w:cs="B Zar" w:hint="cs"/>
          <w:rtl/>
          <w:lang w:bidi="fa-IR"/>
        </w:rPr>
        <w:t xml:space="preserve"> پاكتهاي </w:t>
      </w:r>
      <w:r w:rsidR="00562515" w:rsidRPr="003E3329">
        <w:rPr>
          <w:rFonts w:cs="B Zar" w:hint="cs"/>
          <w:rtl/>
          <w:lang w:bidi="fa-IR"/>
        </w:rPr>
        <w:t>مناقصه</w:t>
      </w:r>
      <w:r w:rsidRPr="003E3329">
        <w:rPr>
          <w:rFonts w:cs="B Zar" w:hint="cs"/>
          <w:rtl/>
          <w:lang w:bidi="fa-IR"/>
        </w:rPr>
        <w:t xml:space="preserve"> در ساعت </w:t>
      </w:r>
      <w:r w:rsidR="008E2653" w:rsidRPr="003E3329">
        <w:rPr>
          <w:rFonts w:cs="B Zar" w:hint="cs"/>
          <w:rtl/>
          <w:lang w:bidi="fa-IR"/>
        </w:rPr>
        <w:t>10/ده</w:t>
      </w:r>
      <w:r w:rsidRPr="003E3329">
        <w:rPr>
          <w:rFonts w:cs="B Zar" w:hint="cs"/>
          <w:rtl/>
          <w:lang w:bidi="fa-IR"/>
        </w:rPr>
        <w:t xml:space="preserve"> صبح مورخ درج شده در جدول</w:t>
      </w:r>
      <w:r w:rsidR="00562515" w:rsidRPr="003E3329">
        <w:rPr>
          <w:rFonts w:cs="B Zar" w:hint="cs"/>
          <w:rtl/>
          <w:lang w:bidi="fa-IR"/>
        </w:rPr>
        <w:t xml:space="preserve"> در محل </w:t>
      </w:r>
      <w:r w:rsidR="008E2653" w:rsidRPr="003E3329">
        <w:rPr>
          <w:rFonts w:cs="B Zar" w:hint="cs"/>
          <w:rtl/>
          <w:lang w:bidi="fa-IR"/>
        </w:rPr>
        <w:t>طبقه چهارم-  سالن اجتماعات شهرداري بندر بوشهر</w:t>
      </w:r>
      <w:r w:rsidRPr="003E3329">
        <w:rPr>
          <w:rFonts w:cs="B Zar" w:hint="cs"/>
          <w:rtl/>
          <w:lang w:bidi="fa-IR"/>
        </w:rPr>
        <w:t xml:space="preserve"> گشوده مي شود.</w:t>
      </w:r>
    </w:p>
    <w:p w:rsidR="00646B76" w:rsidRPr="003E3329" w:rsidRDefault="00646B76" w:rsidP="00C7414C">
      <w:pPr>
        <w:pStyle w:val="ListParagraph"/>
        <w:numPr>
          <w:ilvl w:val="0"/>
          <w:numId w:val="4"/>
        </w:numPr>
        <w:jc w:val="lowKashida"/>
        <w:rPr>
          <w:rFonts w:cs="B Zar"/>
          <w:rtl/>
          <w:lang w:bidi="fa-IR"/>
        </w:rPr>
      </w:pPr>
      <w:r w:rsidRPr="003E3329">
        <w:rPr>
          <w:rFonts w:cs="B Zar" w:hint="cs"/>
          <w:rtl/>
          <w:lang w:bidi="fa-IR"/>
        </w:rPr>
        <w:t xml:space="preserve">ساير جزئيات و شرايط در اسناد </w:t>
      </w:r>
      <w:r w:rsidR="00C7414C" w:rsidRPr="003E3329">
        <w:rPr>
          <w:rFonts w:cs="B Zar" w:hint="cs"/>
          <w:rtl/>
          <w:lang w:bidi="fa-IR"/>
        </w:rPr>
        <w:t>مناقصه</w:t>
      </w:r>
      <w:r w:rsidRPr="003E3329">
        <w:rPr>
          <w:rFonts w:cs="B Zar" w:hint="cs"/>
          <w:rtl/>
          <w:lang w:bidi="fa-IR"/>
        </w:rPr>
        <w:t xml:space="preserve"> درج شده است.</w:t>
      </w:r>
    </w:p>
    <w:p w:rsidR="008E2653" w:rsidRPr="003E3329" w:rsidRDefault="00646B76" w:rsidP="008E2653">
      <w:pPr>
        <w:pStyle w:val="ListParagraph"/>
        <w:numPr>
          <w:ilvl w:val="0"/>
          <w:numId w:val="4"/>
        </w:numPr>
        <w:jc w:val="lowKashida"/>
        <w:rPr>
          <w:rFonts w:cs="B Zar"/>
          <w:rtl/>
          <w:lang w:bidi="fa-IR"/>
        </w:rPr>
      </w:pPr>
      <w:r w:rsidRPr="003E3329">
        <w:rPr>
          <w:rFonts w:cs="B Zar" w:hint="cs"/>
          <w:rtl/>
          <w:lang w:bidi="fa-IR"/>
        </w:rPr>
        <w:t>ضمناً متن آگهي در شبكه اطلاع رساني شهرداري بوشهر به آدرس:</w:t>
      </w:r>
      <w:r w:rsidRPr="003E3329">
        <w:rPr>
          <w:rFonts w:cs="B Zar"/>
          <w:u w:val="single"/>
          <w:lang w:bidi="fa-IR"/>
        </w:rPr>
        <w:t>www.Bushehrcity.ir</w:t>
      </w:r>
      <w:r w:rsidRPr="003E3329">
        <w:rPr>
          <w:rFonts w:cs="B Zar" w:hint="cs"/>
          <w:rtl/>
          <w:lang w:bidi="fa-IR"/>
        </w:rPr>
        <w:t xml:space="preserve"> درج گرديده است.</w:t>
      </w:r>
    </w:p>
    <w:p w:rsidR="00646B76" w:rsidRPr="003E3329" w:rsidRDefault="00646B76" w:rsidP="00624974">
      <w:pPr>
        <w:pStyle w:val="ListParagraph"/>
        <w:numPr>
          <w:ilvl w:val="0"/>
          <w:numId w:val="4"/>
        </w:numPr>
        <w:jc w:val="lowKashida"/>
        <w:rPr>
          <w:rFonts w:cs="B Zar"/>
          <w:lang w:bidi="fa-IR"/>
        </w:rPr>
      </w:pPr>
      <w:r w:rsidRPr="003E3329">
        <w:rPr>
          <w:rFonts w:cs="B Zar" w:hint="cs"/>
          <w:rtl/>
          <w:lang w:bidi="fa-IR"/>
        </w:rPr>
        <w:t>هزينه درج آگهي در دو نوبت به عهده برنده مناقصه ميباشد.</w:t>
      </w:r>
    </w:p>
    <w:p w:rsidR="008E2653" w:rsidRPr="008E2653" w:rsidRDefault="008E2653" w:rsidP="008E2653">
      <w:pPr>
        <w:jc w:val="lowKashida"/>
        <w:rPr>
          <w:rFonts w:cs="B Zar"/>
          <w:sz w:val="28"/>
          <w:szCs w:val="28"/>
          <w:rtl/>
          <w:lang w:bidi="fa-IR"/>
        </w:rPr>
      </w:pPr>
    </w:p>
    <w:p w:rsidR="00806618" w:rsidRPr="008E2653" w:rsidRDefault="00521B34" w:rsidP="00521B34">
      <w:pPr>
        <w:jc w:val="lowKashida"/>
        <w:rPr>
          <w:rFonts w:cs="B Titr"/>
          <w:color w:val="000000" w:themeColor="text1"/>
          <w:sz w:val="28"/>
          <w:szCs w:val="28"/>
          <w:rtl/>
          <w:lang w:bidi="fa-IR"/>
        </w:rPr>
      </w:pPr>
      <w:r>
        <w:rPr>
          <w:rFonts w:cs="2  Jadid" w:hint="cs"/>
          <w:rtl/>
          <w:lang w:bidi="fa-IR"/>
        </w:rPr>
        <w:tab/>
      </w:r>
      <w:r>
        <w:rPr>
          <w:rFonts w:cs="2  Jadid" w:hint="cs"/>
          <w:rtl/>
          <w:lang w:bidi="fa-IR"/>
        </w:rPr>
        <w:tab/>
      </w:r>
      <w:r>
        <w:rPr>
          <w:rFonts w:cs="2  Jadid" w:hint="cs"/>
          <w:rtl/>
          <w:lang w:bidi="fa-IR"/>
        </w:rPr>
        <w:tab/>
      </w:r>
      <w:r>
        <w:rPr>
          <w:rFonts w:cs="2  Jadid" w:hint="cs"/>
          <w:rtl/>
          <w:lang w:bidi="fa-IR"/>
        </w:rPr>
        <w:tab/>
      </w:r>
      <w:r>
        <w:rPr>
          <w:rFonts w:cs="2  Jadid" w:hint="cs"/>
          <w:rtl/>
          <w:lang w:bidi="fa-IR"/>
        </w:rPr>
        <w:tab/>
      </w:r>
      <w:r>
        <w:rPr>
          <w:rFonts w:cs="2  Jadid" w:hint="cs"/>
          <w:rtl/>
          <w:lang w:bidi="fa-IR"/>
        </w:rPr>
        <w:tab/>
      </w:r>
      <w:r>
        <w:rPr>
          <w:rFonts w:cs="2  Jadid" w:hint="cs"/>
          <w:rtl/>
          <w:lang w:bidi="fa-IR"/>
        </w:rPr>
        <w:tab/>
      </w:r>
      <w:r>
        <w:rPr>
          <w:rFonts w:cs="2  Jadid" w:hint="cs"/>
          <w:rtl/>
          <w:lang w:bidi="fa-IR"/>
        </w:rPr>
        <w:tab/>
      </w:r>
      <w:r w:rsidR="00243C8B">
        <w:rPr>
          <w:rFonts w:cs="2  Jadid" w:hint="cs"/>
          <w:rtl/>
          <w:lang w:bidi="fa-IR"/>
        </w:rPr>
        <w:t xml:space="preserve">                                                 </w:t>
      </w:r>
      <w:r>
        <w:rPr>
          <w:rFonts w:cs="2  Jadid" w:hint="cs"/>
          <w:rtl/>
          <w:lang w:bidi="fa-IR"/>
        </w:rPr>
        <w:tab/>
      </w:r>
      <w:r w:rsidR="00806618" w:rsidRPr="008E2653">
        <w:rPr>
          <w:rFonts w:cs="B Titr" w:hint="cs"/>
          <w:color w:val="000000" w:themeColor="text1"/>
          <w:sz w:val="28"/>
          <w:szCs w:val="28"/>
          <w:rtl/>
          <w:lang w:bidi="fa-IR"/>
        </w:rPr>
        <w:t>روابط عمومي</w:t>
      </w:r>
      <w:r w:rsidRPr="008E2653">
        <w:rPr>
          <w:rFonts w:cs="B Titr" w:hint="cs"/>
          <w:color w:val="000000" w:themeColor="text1"/>
          <w:sz w:val="28"/>
          <w:szCs w:val="28"/>
          <w:rtl/>
          <w:lang w:bidi="fa-IR"/>
        </w:rPr>
        <w:t xml:space="preserve"> و امور بين الملل</w:t>
      </w:r>
      <w:r w:rsidR="00806618" w:rsidRPr="008E2653">
        <w:rPr>
          <w:rFonts w:cs="B Titr" w:hint="cs"/>
          <w:color w:val="000000" w:themeColor="text1"/>
          <w:sz w:val="28"/>
          <w:szCs w:val="28"/>
          <w:rtl/>
          <w:lang w:bidi="fa-IR"/>
        </w:rPr>
        <w:t xml:space="preserve"> شهرداري</w:t>
      </w:r>
      <w:r w:rsidR="00947F3B" w:rsidRPr="008E2653">
        <w:rPr>
          <w:rFonts w:cs="B Titr" w:hint="cs"/>
          <w:color w:val="000000" w:themeColor="text1"/>
          <w:sz w:val="28"/>
          <w:szCs w:val="28"/>
          <w:rtl/>
          <w:lang w:bidi="fa-IR"/>
        </w:rPr>
        <w:t xml:space="preserve"> بندر بوشهر</w:t>
      </w:r>
    </w:p>
    <w:sectPr w:rsidR="00806618" w:rsidRPr="008E2653" w:rsidSect="00521B34">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BD" w:rsidRDefault="009F73BD" w:rsidP="00775357">
      <w:r>
        <w:separator/>
      </w:r>
    </w:p>
  </w:endnote>
  <w:endnote w:type="continuationSeparator" w:id="0">
    <w:p w:rsidR="009F73BD" w:rsidRDefault="009F73BD" w:rsidP="0077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2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BD" w:rsidRDefault="009F73BD" w:rsidP="00775357">
      <w:r>
        <w:separator/>
      </w:r>
    </w:p>
  </w:footnote>
  <w:footnote w:type="continuationSeparator" w:id="0">
    <w:p w:rsidR="009F73BD" w:rsidRDefault="009F73BD" w:rsidP="00775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A3615"/>
    <w:multiLevelType w:val="hybridMultilevel"/>
    <w:tmpl w:val="39362AA2"/>
    <w:lvl w:ilvl="0" w:tplc="5956CBC0">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157A7"/>
    <w:rsid w:val="00042DBB"/>
    <w:rsid w:val="00071130"/>
    <w:rsid w:val="000B19E7"/>
    <w:rsid w:val="000B26A4"/>
    <w:rsid w:val="000D7EA0"/>
    <w:rsid w:val="000E3328"/>
    <w:rsid w:val="001123B1"/>
    <w:rsid w:val="001604C6"/>
    <w:rsid w:val="001641F4"/>
    <w:rsid w:val="001A19BC"/>
    <w:rsid w:val="001B0FA2"/>
    <w:rsid w:val="001C2E49"/>
    <w:rsid w:val="001E0F7D"/>
    <w:rsid w:val="002000D0"/>
    <w:rsid w:val="002030CA"/>
    <w:rsid w:val="002175AE"/>
    <w:rsid w:val="00225F32"/>
    <w:rsid w:val="00243C8B"/>
    <w:rsid w:val="00244BE3"/>
    <w:rsid w:val="00271EB2"/>
    <w:rsid w:val="00272659"/>
    <w:rsid w:val="002E6525"/>
    <w:rsid w:val="002F4434"/>
    <w:rsid w:val="0031328C"/>
    <w:rsid w:val="003250E1"/>
    <w:rsid w:val="00334E32"/>
    <w:rsid w:val="00337EC0"/>
    <w:rsid w:val="0035068C"/>
    <w:rsid w:val="0036145B"/>
    <w:rsid w:val="00373E0C"/>
    <w:rsid w:val="003802E1"/>
    <w:rsid w:val="003952B0"/>
    <w:rsid w:val="003A4D25"/>
    <w:rsid w:val="003B4176"/>
    <w:rsid w:val="003D0A31"/>
    <w:rsid w:val="003E3329"/>
    <w:rsid w:val="003E580B"/>
    <w:rsid w:val="003F77EB"/>
    <w:rsid w:val="004210BE"/>
    <w:rsid w:val="00423081"/>
    <w:rsid w:val="00433070"/>
    <w:rsid w:val="00434F1B"/>
    <w:rsid w:val="0044202D"/>
    <w:rsid w:val="00482DF6"/>
    <w:rsid w:val="004A6798"/>
    <w:rsid w:val="004B2D1B"/>
    <w:rsid w:val="004E76A8"/>
    <w:rsid w:val="00521B34"/>
    <w:rsid w:val="005433D4"/>
    <w:rsid w:val="0055159B"/>
    <w:rsid w:val="00562515"/>
    <w:rsid w:val="00593128"/>
    <w:rsid w:val="005B3935"/>
    <w:rsid w:val="005B5697"/>
    <w:rsid w:val="005C0E3D"/>
    <w:rsid w:val="00624974"/>
    <w:rsid w:val="0064210E"/>
    <w:rsid w:val="00645760"/>
    <w:rsid w:val="00646B76"/>
    <w:rsid w:val="00662071"/>
    <w:rsid w:val="006727F8"/>
    <w:rsid w:val="006E3639"/>
    <w:rsid w:val="006F60C7"/>
    <w:rsid w:val="007270AB"/>
    <w:rsid w:val="007404A9"/>
    <w:rsid w:val="00741670"/>
    <w:rsid w:val="00755C0E"/>
    <w:rsid w:val="00763D55"/>
    <w:rsid w:val="00767D63"/>
    <w:rsid w:val="00775357"/>
    <w:rsid w:val="00780B2A"/>
    <w:rsid w:val="00791E2B"/>
    <w:rsid w:val="00793CB6"/>
    <w:rsid w:val="007C5B82"/>
    <w:rsid w:val="007C70BF"/>
    <w:rsid w:val="007D24D4"/>
    <w:rsid w:val="007F0E0B"/>
    <w:rsid w:val="00806618"/>
    <w:rsid w:val="008131DB"/>
    <w:rsid w:val="00823E0D"/>
    <w:rsid w:val="00824EE7"/>
    <w:rsid w:val="00832331"/>
    <w:rsid w:val="008420C4"/>
    <w:rsid w:val="008712C2"/>
    <w:rsid w:val="008760AA"/>
    <w:rsid w:val="008A4684"/>
    <w:rsid w:val="008C017C"/>
    <w:rsid w:val="008C0B55"/>
    <w:rsid w:val="008E2653"/>
    <w:rsid w:val="009042B0"/>
    <w:rsid w:val="009060D1"/>
    <w:rsid w:val="0094771A"/>
    <w:rsid w:val="00947F3B"/>
    <w:rsid w:val="00956849"/>
    <w:rsid w:val="009609AA"/>
    <w:rsid w:val="0099735B"/>
    <w:rsid w:val="009F73BD"/>
    <w:rsid w:val="00A00C24"/>
    <w:rsid w:val="00A02F5E"/>
    <w:rsid w:val="00A044E8"/>
    <w:rsid w:val="00A47DA7"/>
    <w:rsid w:val="00A5056E"/>
    <w:rsid w:val="00A55C85"/>
    <w:rsid w:val="00A7605D"/>
    <w:rsid w:val="00A96FD5"/>
    <w:rsid w:val="00AC027E"/>
    <w:rsid w:val="00AC4FBD"/>
    <w:rsid w:val="00AE5787"/>
    <w:rsid w:val="00AF3ABE"/>
    <w:rsid w:val="00B17010"/>
    <w:rsid w:val="00B176AE"/>
    <w:rsid w:val="00B259D3"/>
    <w:rsid w:val="00B3726E"/>
    <w:rsid w:val="00B47E2E"/>
    <w:rsid w:val="00B52AAB"/>
    <w:rsid w:val="00B64619"/>
    <w:rsid w:val="00BA7E74"/>
    <w:rsid w:val="00BB725B"/>
    <w:rsid w:val="00BC5D4C"/>
    <w:rsid w:val="00C13DFD"/>
    <w:rsid w:val="00C1787E"/>
    <w:rsid w:val="00C50C92"/>
    <w:rsid w:val="00C5623B"/>
    <w:rsid w:val="00C7414C"/>
    <w:rsid w:val="00C95573"/>
    <w:rsid w:val="00C95614"/>
    <w:rsid w:val="00CF2FA2"/>
    <w:rsid w:val="00D028B9"/>
    <w:rsid w:val="00D23254"/>
    <w:rsid w:val="00D4648D"/>
    <w:rsid w:val="00D54F36"/>
    <w:rsid w:val="00D56C7D"/>
    <w:rsid w:val="00D65883"/>
    <w:rsid w:val="00D81649"/>
    <w:rsid w:val="00DA0B85"/>
    <w:rsid w:val="00DC2B76"/>
    <w:rsid w:val="00DD091C"/>
    <w:rsid w:val="00DE0A1F"/>
    <w:rsid w:val="00DF076B"/>
    <w:rsid w:val="00E33923"/>
    <w:rsid w:val="00E5593A"/>
    <w:rsid w:val="00E61D24"/>
    <w:rsid w:val="00E71AF4"/>
    <w:rsid w:val="00E91F7D"/>
    <w:rsid w:val="00EB6172"/>
    <w:rsid w:val="00ED18E6"/>
    <w:rsid w:val="00EE7318"/>
    <w:rsid w:val="00EF41E9"/>
    <w:rsid w:val="00F00B31"/>
    <w:rsid w:val="00F1242E"/>
    <w:rsid w:val="00F22D55"/>
    <w:rsid w:val="00F8398C"/>
    <w:rsid w:val="00FB0A3D"/>
    <w:rsid w:val="00FC6137"/>
    <w:rsid w:val="00FC7542"/>
    <w:rsid w:val="00FE096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624974"/>
    <w:pPr>
      <w:ind w:left="720"/>
      <w:contextualSpacing/>
    </w:pPr>
  </w:style>
  <w:style w:type="paragraph" w:styleId="Header">
    <w:name w:val="header"/>
    <w:basedOn w:val="Normal"/>
    <w:link w:val="HeaderChar"/>
    <w:rsid w:val="00775357"/>
    <w:pPr>
      <w:tabs>
        <w:tab w:val="center" w:pos="4513"/>
        <w:tab w:val="right" w:pos="9026"/>
      </w:tabs>
    </w:pPr>
  </w:style>
  <w:style w:type="character" w:customStyle="1" w:styleId="HeaderChar">
    <w:name w:val="Header Char"/>
    <w:basedOn w:val="DefaultParagraphFont"/>
    <w:link w:val="Header"/>
    <w:rsid w:val="00775357"/>
    <w:rPr>
      <w:sz w:val="24"/>
      <w:szCs w:val="24"/>
      <w:lang w:bidi="ar-SA"/>
    </w:rPr>
  </w:style>
  <w:style w:type="paragraph" w:styleId="Footer">
    <w:name w:val="footer"/>
    <w:basedOn w:val="Normal"/>
    <w:link w:val="FooterChar"/>
    <w:rsid w:val="00775357"/>
    <w:pPr>
      <w:tabs>
        <w:tab w:val="center" w:pos="4513"/>
        <w:tab w:val="right" w:pos="9026"/>
      </w:tabs>
    </w:pPr>
  </w:style>
  <w:style w:type="character" w:customStyle="1" w:styleId="FooterChar">
    <w:name w:val="Footer Char"/>
    <w:basedOn w:val="DefaultParagraphFont"/>
    <w:link w:val="Footer"/>
    <w:rsid w:val="00775357"/>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624974"/>
    <w:pPr>
      <w:ind w:left="720"/>
      <w:contextualSpacing/>
    </w:pPr>
  </w:style>
  <w:style w:type="paragraph" w:styleId="Header">
    <w:name w:val="header"/>
    <w:basedOn w:val="Normal"/>
    <w:link w:val="HeaderChar"/>
    <w:rsid w:val="00775357"/>
    <w:pPr>
      <w:tabs>
        <w:tab w:val="center" w:pos="4513"/>
        <w:tab w:val="right" w:pos="9026"/>
      </w:tabs>
    </w:pPr>
  </w:style>
  <w:style w:type="character" w:customStyle="1" w:styleId="HeaderChar">
    <w:name w:val="Header Char"/>
    <w:basedOn w:val="DefaultParagraphFont"/>
    <w:link w:val="Header"/>
    <w:rsid w:val="00775357"/>
    <w:rPr>
      <w:sz w:val="24"/>
      <w:szCs w:val="24"/>
      <w:lang w:bidi="ar-SA"/>
    </w:rPr>
  </w:style>
  <w:style w:type="paragraph" w:styleId="Footer">
    <w:name w:val="footer"/>
    <w:basedOn w:val="Normal"/>
    <w:link w:val="FooterChar"/>
    <w:rsid w:val="00775357"/>
    <w:pPr>
      <w:tabs>
        <w:tab w:val="center" w:pos="4513"/>
        <w:tab w:val="right" w:pos="9026"/>
      </w:tabs>
    </w:pPr>
  </w:style>
  <w:style w:type="character" w:customStyle="1" w:styleId="FooterChar">
    <w:name w:val="Footer Char"/>
    <w:basedOn w:val="DefaultParagraphFont"/>
    <w:link w:val="Footer"/>
    <w:rsid w:val="00775357"/>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5867">
      <w:bodyDiv w:val="1"/>
      <w:marLeft w:val="0"/>
      <w:marRight w:val="0"/>
      <w:marTop w:val="0"/>
      <w:marBottom w:val="0"/>
      <w:divBdr>
        <w:top w:val="none" w:sz="0" w:space="0" w:color="auto"/>
        <w:left w:val="none" w:sz="0" w:space="0" w:color="auto"/>
        <w:bottom w:val="none" w:sz="0" w:space="0" w:color="auto"/>
        <w:right w:val="none" w:sz="0" w:space="0" w:color="auto"/>
      </w:divBdr>
    </w:div>
    <w:div w:id="1660187978">
      <w:bodyDiv w:val="1"/>
      <w:marLeft w:val="0"/>
      <w:marRight w:val="0"/>
      <w:marTop w:val="0"/>
      <w:marBottom w:val="0"/>
      <w:divBdr>
        <w:top w:val="none" w:sz="0" w:space="0" w:color="auto"/>
        <w:left w:val="none" w:sz="0" w:space="0" w:color="auto"/>
        <w:bottom w:val="none" w:sz="0" w:space="0" w:color="auto"/>
        <w:right w:val="none" w:sz="0" w:space="0" w:color="auto"/>
      </w:divBdr>
    </w:div>
    <w:div w:id="17440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نظر به اينكه شهرداري بوشهر در نظر دارد انجام امور مربوط به خدمات تنظيف و نگهداري فضاي سبز ترمينال مسافر بري را به شركتهاي معتبر واجد شرايط واگذار نمايد </vt:lpstr>
    </vt:vector>
  </TitlesOfParts>
  <Company>Khalijonline</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2018-01-04T00:34:00Z</cp:lastPrinted>
  <dcterms:created xsi:type="dcterms:W3CDTF">2018-12-02T18:08:00Z</dcterms:created>
  <dcterms:modified xsi:type="dcterms:W3CDTF">2018-12-02T18:08:00Z</dcterms:modified>
</cp:coreProperties>
</file>